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94" w:lineRule="exact"/>
        <w:ind w:left="-141" w:leftChars="-67" w:right="-170" w:rightChars="-81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313" w:afterLines="100" w:line="594" w:lineRule="exact"/>
        <w:ind w:left="-141" w:leftChars="-67" w:right="-170" w:rightChars="-81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受检机构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名单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7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napToGrid w:val="0"/>
              <w:spacing w:line="600" w:lineRule="exact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napToGrid w:val="0"/>
              <w:spacing w:line="6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8"/>
                <w:szCs w:val="28"/>
                <w:lang w:eastAsia="zh-CN"/>
              </w:rPr>
              <w:t>法定计量检定机构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8"/>
                <w:szCs w:val="28"/>
              </w:rPr>
              <w:t>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中国计量科学研究院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山西省检验检测中心（山西省标准计量技术研究院）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辽宁省检验检测认证中心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湖南省计量检测研究院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浙江省计量科学研究院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广东省计量科学研究院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海南省检验检测研究院计量测试所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重庆市计量质量检测研究院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甘肃省计量研究院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国家重大技术装备几何量计量站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国家石油天然气大流量计量站南京分站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国家铁路罐车容积计量站茂名分站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国家轨道衡计量站广州分站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noWrap w:val="0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286" w:type="dxa"/>
            <w:noWrap w:val="0"/>
            <w:vAlign w:val="center"/>
          </w:tcPr>
          <w:p>
            <w:pPr>
              <w:spacing w:line="600" w:lineRule="exact"/>
              <w:ind w:left="0" w:leftChars="0" w:firstLine="319" w:firstLineChars="114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国家民用机场航空加油设备计量站</w:t>
            </w:r>
          </w:p>
        </w:tc>
      </w:tr>
    </w:tbl>
    <w:p>
      <w:pPr>
        <w:ind w:left="-141" w:leftChars="-67" w:right="-170" w:rightChars="-81"/>
        <w:rPr>
          <w:rFonts w:hint="default" w:ascii="Times New Roman" w:hAnsi="Times New Roman" w:cs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62770"/>
    <w:rsid w:val="7509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Office_12.8.2.15091_F1E327BC-269C-435d-A152-05C5408002CA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2025-04-02T01:51:00Z</dcterms:created>
  <dc:creator>z</dc:creator>
  <cp:lastModifiedBy>刘红光</cp:lastModifiedBy>
  <dcterms:modified xsi:type="dcterms:W3CDTF">2025-04-02T03:14:22Z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2052-12.8.2.15091</vt:lpwstr>
  </property>
  <property fmtid="{D5CDD505-2E9C-101B-9397-08002B2CF9AE}" pid="3" name="ICV">
    <vt:lpwstr>8B5AF6B9C0164E1AA92EA3484E786509_12</vt:lpwstr>
  </property>
</Properties>
</file>