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verflowPunct w:val="0"/>
        <w:spacing w:line="594" w:lineRule="exact"/>
        <w:ind w:left="-141" w:leftChars="-67" w:right="-170" w:rightChars="-81"/>
        <w:rPr>
          <w:rFonts w:hint="default" w:ascii="Times New Roman" w:hAnsi="Times New Roman" w:eastAsia="黑体" w:cs="Times New Roman"/>
          <w:color w:val="000000"/>
          <w:sz w:val="32"/>
          <w:szCs w:val="32"/>
        </w:rPr>
      </w:pPr>
      <w:r>
        <w:rPr>
          <w:rFonts w:hint="default" w:ascii="Times New Roman" w:hAnsi="Times New Roman" w:eastAsia="黑体" w:cs="Times New Roman"/>
          <w:color w:val="000000"/>
          <w:sz w:val="32"/>
          <w:szCs w:val="32"/>
        </w:rPr>
        <w:t>附件2</w:t>
      </w:r>
    </w:p>
    <w:p>
      <w:pPr>
        <w:keepNext w:val="0"/>
        <w:keepLines w:val="0"/>
        <w:pageBreakBefore w:val="0"/>
        <w:widowControl w:val="0"/>
        <w:kinsoku/>
        <w:wordWrap/>
        <w:overflowPunct w:val="0"/>
        <w:topLinePunct w:val="0"/>
        <w:autoSpaceDE/>
        <w:autoSpaceDN/>
        <w:bidi w:val="0"/>
        <w:adjustRightInd/>
        <w:snapToGrid/>
        <w:spacing w:after="313" w:afterLines="100" w:line="594" w:lineRule="exact"/>
        <w:ind w:left="-141" w:leftChars="-67" w:right="-170" w:rightChars="-81"/>
        <w:jc w:val="center"/>
        <w:textAlignment w:val="auto"/>
        <w:rPr>
          <w:rFonts w:hint="default" w:ascii="Times New Roman" w:hAnsi="Times New Roman" w:eastAsia="方正小标宋简体" w:cs="Times New Roman"/>
          <w:color w:val="000000"/>
          <w:sz w:val="44"/>
          <w:szCs w:val="44"/>
        </w:rPr>
      </w:pPr>
      <w:r>
        <w:rPr>
          <w:rFonts w:hint="default" w:ascii="Times New Roman" w:hAnsi="Times New Roman" w:eastAsia="方正小标宋简体" w:cs="Times New Roman"/>
          <w:b w:val="0"/>
          <w:bCs/>
          <w:sz w:val="44"/>
          <w:szCs w:val="44"/>
          <w:lang w:eastAsia="zh-CN"/>
        </w:rPr>
        <w:t>整改情</w:t>
      </w:r>
      <w:bookmarkStart w:id="0" w:name="_GoBack"/>
      <w:bookmarkEnd w:id="0"/>
      <w:r>
        <w:rPr>
          <w:rFonts w:hint="default" w:ascii="Times New Roman" w:hAnsi="Times New Roman" w:eastAsia="方正小标宋简体" w:cs="Times New Roman"/>
          <w:b w:val="0"/>
          <w:bCs/>
          <w:sz w:val="44"/>
          <w:szCs w:val="44"/>
          <w:lang w:eastAsia="zh-CN"/>
        </w:rPr>
        <w:t>况</w:t>
      </w:r>
    </w:p>
    <w:tbl>
      <w:tblPr>
        <w:tblStyle w:val="4"/>
        <w:tblW w:w="9009" w:type="dxa"/>
        <w:jc w:val="center"/>
        <w:tblLayout w:type="fixed"/>
        <w:tblCellMar>
          <w:top w:w="0" w:type="dxa"/>
          <w:left w:w="108" w:type="dxa"/>
          <w:bottom w:w="0" w:type="dxa"/>
          <w:right w:w="108" w:type="dxa"/>
        </w:tblCellMar>
      </w:tblPr>
      <w:tblGrid>
        <w:gridCol w:w="568"/>
        <w:gridCol w:w="2187"/>
        <w:gridCol w:w="1484"/>
        <w:gridCol w:w="3904"/>
        <w:gridCol w:w="866"/>
      </w:tblGrid>
      <w:tr>
        <w:tblPrEx>
          <w:tblCellMar>
            <w:top w:w="0" w:type="dxa"/>
            <w:left w:w="108" w:type="dxa"/>
            <w:bottom w:w="0" w:type="dxa"/>
            <w:right w:w="108" w:type="dxa"/>
          </w:tblCellMar>
        </w:tblPrEx>
        <w:trPr>
          <w:cantSplit/>
          <w:trHeight w:val="604" w:hRule="atLeast"/>
          <w:tblHeader/>
          <w:jc w:val="center"/>
        </w:trPr>
        <w:tc>
          <w:tcPr>
            <w:tcW w:w="568" w:type="dxa"/>
            <w:tcBorders>
              <w:top w:val="single" w:color="auto" w:sz="4" w:space="0"/>
              <w:left w:val="single" w:color="auto" w:sz="4" w:space="0"/>
              <w:bottom w:val="single" w:color="auto" w:sz="4" w:space="0"/>
              <w:right w:val="single" w:color="auto" w:sz="4" w:space="0"/>
            </w:tcBorders>
            <w:shd w:val="clear" w:color="auto" w:fill="E7E6E6"/>
            <w:noWrap w:val="0"/>
            <w:vAlign w:val="center"/>
          </w:tcPr>
          <w:p>
            <w:pPr>
              <w:keepNext w:val="0"/>
              <w:keepLines w:val="0"/>
              <w:pageBreakBefore w:val="0"/>
              <w:widowControl/>
              <w:kinsoku/>
              <w:wordWrap/>
              <w:overflowPunct/>
              <w:topLinePunct w:val="0"/>
              <w:autoSpaceDE/>
              <w:autoSpaceDN/>
              <w:bidi w:val="0"/>
              <w:adjustRightInd/>
              <w:snapToGrid w:val="0"/>
              <w:spacing w:line="420" w:lineRule="exact"/>
              <w:ind w:firstLine="0" w:firstLineChars="0"/>
              <w:jc w:val="center"/>
              <w:textAlignment w:val="auto"/>
              <w:rPr>
                <w:rFonts w:hint="eastAsia" w:ascii="黑体" w:hAnsi="黑体" w:eastAsia="黑体" w:cs="黑体"/>
                <w:bCs/>
                <w:kern w:val="0"/>
                <w:sz w:val="28"/>
                <w:szCs w:val="28"/>
                <w:highlight w:val="none"/>
              </w:rPr>
            </w:pPr>
            <w:r>
              <w:rPr>
                <w:rFonts w:hint="eastAsia" w:ascii="黑体" w:hAnsi="黑体" w:eastAsia="黑体" w:cs="黑体"/>
                <w:b w:val="0"/>
                <w:bCs/>
                <w:sz w:val="28"/>
                <w:szCs w:val="28"/>
                <w:highlight w:val="none"/>
                <w:shd w:val="clear" w:color="auto" w:fill="auto"/>
              </w:rPr>
              <w:t>序号</w:t>
            </w:r>
          </w:p>
        </w:tc>
        <w:tc>
          <w:tcPr>
            <w:tcW w:w="2187" w:type="dxa"/>
            <w:tcBorders>
              <w:top w:val="single" w:color="auto" w:sz="4" w:space="0"/>
              <w:left w:val="nil"/>
              <w:bottom w:val="single" w:color="auto" w:sz="4" w:space="0"/>
              <w:right w:val="single" w:color="auto" w:sz="4" w:space="0"/>
            </w:tcBorders>
            <w:shd w:val="clear" w:color="auto" w:fill="E7E6E6"/>
            <w:noWrap w:val="0"/>
            <w:vAlign w:val="center"/>
          </w:tcPr>
          <w:p>
            <w:pPr>
              <w:keepNext w:val="0"/>
              <w:keepLines w:val="0"/>
              <w:pageBreakBefore w:val="0"/>
              <w:widowControl/>
              <w:kinsoku/>
              <w:wordWrap/>
              <w:overflowPunct/>
              <w:topLinePunct w:val="0"/>
              <w:autoSpaceDE/>
              <w:autoSpaceDN/>
              <w:bidi w:val="0"/>
              <w:adjustRightInd/>
              <w:snapToGrid w:val="0"/>
              <w:spacing w:line="420" w:lineRule="exact"/>
              <w:ind w:firstLine="0" w:firstLineChars="0"/>
              <w:jc w:val="center"/>
              <w:textAlignment w:val="auto"/>
              <w:rPr>
                <w:rFonts w:hint="eastAsia" w:ascii="黑体" w:hAnsi="黑体" w:eastAsia="黑体" w:cs="黑体"/>
                <w:bCs/>
                <w:kern w:val="0"/>
                <w:sz w:val="28"/>
                <w:szCs w:val="28"/>
                <w:highlight w:val="none"/>
              </w:rPr>
            </w:pPr>
            <w:r>
              <w:rPr>
                <w:rFonts w:hint="eastAsia" w:ascii="黑体" w:hAnsi="黑体" w:eastAsia="黑体" w:cs="黑体"/>
                <w:b w:val="0"/>
                <w:bCs/>
                <w:sz w:val="28"/>
                <w:szCs w:val="28"/>
                <w:highlight w:val="none"/>
                <w:shd w:val="clear" w:color="auto" w:fill="auto"/>
              </w:rPr>
              <w:t>机构名称</w:t>
            </w:r>
          </w:p>
        </w:tc>
        <w:tc>
          <w:tcPr>
            <w:tcW w:w="1484" w:type="dxa"/>
            <w:tcBorders>
              <w:top w:val="single" w:color="auto" w:sz="4" w:space="0"/>
              <w:left w:val="nil"/>
              <w:bottom w:val="single" w:color="auto" w:sz="4" w:space="0"/>
              <w:right w:val="single" w:color="auto" w:sz="4" w:space="0"/>
            </w:tcBorders>
            <w:shd w:val="clear" w:color="auto" w:fill="E7E6E6"/>
            <w:noWrap w:val="0"/>
            <w:vAlign w:val="center"/>
          </w:tcPr>
          <w:p>
            <w:pPr>
              <w:keepNext w:val="0"/>
              <w:keepLines w:val="0"/>
              <w:pageBreakBefore w:val="0"/>
              <w:widowControl/>
              <w:kinsoku/>
              <w:wordWrap/>
              <w:overflowPunct/>
              <w:topLinePunct w:val="0"/>
              <w:autoSpaceDE/>
              <w:autoSpaceDN/>
              <w:bidi w:val="0"/>
              <w:adjustRightInd/>
              <w:snapToGrid w:val="0"/>
              <w:spacing w:line="420" w:lineRule="exact"/>
              <w:ind w:left="-42" w:leftChars="-20" w:right="-90" w:rightChars="-43" w:firstLine="0" w:firstLineChars="0"/>
              <w:jc w:val="center"/>
              <w:textAlignment w:val="auto"/>
              <w:rPr>
                <w:rFonts w:hint="eastAsia" w:ascii="黑体" w:hAnsi="黑体" w:eastAsia="黑体" w:cs="黑体"/>
                <w:b w:val="0"/>
                <w:bCs/>
                <w:sz w:val="28"/>
                <w:szCs w:val="28"/>
                <w:highlight w:val="none"/>
                <w:shd w:val="clear" w:color="auto" w:fill="auto"/>
              </w:rPr>
            </w:pPr>
            <w:r>
              <w:rPr>
                <w:rFonts w:hint="eastAsia" w:ascii="黑体" w:hAnsi="黑体" w:eastAsia="黑体" w:cs="黑体"/>
                <w:b w:val="0"/>
                <w:bCs/>
                <w:sz w:val="28"/>
                <w:szCs w:val="28"/>
                <w:highlight w:val="none"/>
                <w:shd w:val="clear" w:color="auto" w:fill="auto"/>
              </w:rPr>
              <w:t>不符合项</w:t>
            </w:r>
          </w:p>
          <w:p>
            <w:pPr>
              <w:keepNext w:val="0"/>
              <w:keepLines w:val="0"/>
              <w:pageBreakBefore w:val="0"/>
              <w:widowControl/>
              <w:kinsoku/>
              <w:wordWrap/>
              <w:overflowPunct/>
              <w:topLinePunct w:val="0"/>
              <w:autoSpaceDE/>
              <w:autoSpaceDN/>
              <w:bidi w:val="0"/>
              <w:adjustRightInd/>
              <w:snapToGrid w:val="0"/>
              <w:spacing w:line="420" w:lineRule="exact"/>
              <w:ind w:left="-42" w:leftChars="-20" w:right="-90" w:rightChars="-43" w:firstLine="0" w:firstLineChars="0"/>
              <w:jc w:val="center"/>
              <w:textAlignment w:val="auto"/>
              <w:rPr>
                <w:rFonts w:hint="eastAsia" w:ascii="黑体" w:hAnsi="黑体" w:eastAsia="黑体" w:cs="黑体"/>
                <w:color w:val="000000"/>
                <w:sz w:val="28"/>
                <w:szCs w:val="28"/>
                <w:highlight w:val="none"/>
              </w:rPr>
            </w:pPr>
            <w:r>
              <w:rPr>
                <w:rFonts w:hint="eastAsia" w:ascii="黑体" w:hAnsi="黑体" w:eastAsia="黑体" w:cs="黑体"/>
                <w:b w:val="0"/>
                <w:bCs/>
                <w:sz w:val="28"/>
                <w:szCs w:val="28"/>
                <w:highlight w:val="none"/>
                <w:shd w:val="clear" w:color="auto" w:fill="auto"/>
              </w:rPr>
              <w:t>序号</w:t>
            </w:r>
          </w:p>
        </w:tc>
        <w:tc>
          <w:tcPr>
            <w:tcW w:w="3904" w:type="dxa"/>
            <w:tcBorders>
              <w:top w:val="single" w:color="auto" w:sz="4" w:space="0"/>
              <w:left w:val="nil"/>
              <w:bottom w:val="single" w:color="auto" w:sz="4" w:space="0"/>
              <w:right w:val="single" w:color="auto" w:sz="4" w:space="0"/>
            </w:tcBorders>
            <w:shd w:val="clear" w:color="auto" w:fill="E7E6E6"/>
            <w:noWrap w:val="0"/>
            <w:vAlign w:val="center"/>
          </w:tcPr>
          <w:p>
            <w:pPr>
              <w:keepNext w:val="0"/>
              <w:keepLines w:val="0"/>
              <w:pageBreakBefore w:val="0"/>
              <w:widowControl/>
              <w:kinsoku/>
              <w:wordWrap/>
              <w:overflowPunct/>
              <w:topLinePunct w:val="0"/>
              <w:autoSpaceDE/>
              <w:autoSpaceDN/>
              <w:bidi w:val="0"/>
              <w:adjustRightInd/>
              <w:snapToGrid w:val="0"/>
              <w:spacing w:line="420" w:lineRule="exact"/>
              <w:ind w:firstLine="0" w:firstLineChars="0"/>
              <w:jc w:val="center"/>
              <w:textAlignment w:val="auto"/>
              <w:rPr>
                <w:rFonts w:hint="eastAsia" w:ascii="黑体" w:hAnsi="黑体" w:eastAsia="黑体" w:cs="黑体"/>
                <w:color w:val="000000"/>
                <w:sz w:val="28"/>
                <w:szCs w:val="28"/>
                <w:highlight w:val="none"/>
              </w:rPr>
            </w:pPr>
            <w:r>
              <w:rPr>
                <w:rFonts w:hint="eastAsia" w:ascii="黑体" w:hAnsi="黑体" w:eastAsia="黑体" w:cs="黑体"/>
                <w:b w:val="0"/>
                <w:bCs/>
                <w:sz w:val="28"/>
                <w:szCs w:val="28"/>
                <w:highlight w:val="none"/>
                <w:shd w:val="clear" w:color="auto" w:fill="auto"/>
              </w:rPr>
              <w:t>不符合项描述</w:t>
            </w:r>
          </w:p>
        </w:tc>
        <w:tc>
          <w:tcPr>
            <w:tcW w:w="866" w:type="dxa"/>
            <w:tcBorders>
              <w:top w:val="single" w:color="auto" w:sz="4" w:space="0"/>
              <w:left w:val="nil"/>
              <w:bottom w:val="single" w:color="auto" w:sz="4" w:space="0"/>
              <w:right w:val="single" w:color="auto" w:sz="4" w:space="0"/>
            </w:tcBorders>
            <w:shd w:val="clear" w:color="auto" w:fill="E7E6E6"/>
            <w:noWrap w:val="0"/>
            <w:vAlign w:val="center"/>
          </w:tcPr>
          <w:p>
            <w:pPr>
              <w:keepNext w:val="0"/>
              <w:keepLines w:val="0"/>
              <w:pageBreakBefore w:val="0"/>
              <w:widowControl/>
              <w:kinsoku/>
              <w:wordWrap/>
              <w:overflowPunct/>
              <w:topLinePunct w:val="0"/>
              <w:autoSpaceDE/>
              <w:autoSpaceDN/>
              <w:bidi w:val="0"/>
              <w:adjustRightInd/>
              <w:snapToGrid w:val="0"/>
              <w:spacing w:line="420" w:lineRule="exact"/>
              <w:ind w:firstLine="0" w:firstLineChars="0"/>
              <w:jc w:val="center"/>
              <w:textAlignment w:val="auto"/>
              <w:rPr>
                <w:rFonts w:hint="eastAsia" w:ascii="黑体" w:hAnsi="黑体" w:eastAsia="黑体" w:cs="黑体"/>
                <w:b w:val="0"/>
                <w:bCs/>
                <w:sz w:val="28"/>
                <w:szCs w:val="28"/>
                <w:highlight w:val="none"/>
                <w:shd w:val="clear" w:color="auto" w:fill="auto"/>
              </w:rPr>
            </w:pPr>
            <w:r>
              <w:rPr>
                <w:rFonts w:hint="eastAsia" w:ascii="黑体" w:hAnsi="黑体" w:eastAsia="黑体" w:cs="黑体"/>
                <w:b w:val="0"/>
                <w:bCs/>
                <w:sz w:val="28"/>
                <w:szCs w:val="28"/>
                <w:highlight w:val="none"/>
                <w:shd w:val="clear" w:color="auto" w:fill="auto"/>
              </w:rPr>
              <w:t>整改</w:t>
            </w:r>
          </w:p>
          <w:p>
            <w:pPr>
              <w:keepNext w:val="0"/>
              <w:keepLines w:val="0"/>
              <w:pageBreakBefore w:val="0"/>
              <w:widowControl/>
              <w:kinsoku/>
              <w:wordWrap/>
              <w:overflowPunct/>
              <w:topLinePunct w:val="0"/>
              <w:autoSpaceDE/>
              <w:autoSpaceDN/>
              <w:bidi w:val="0"/>
              <w:adjustRightInd/>
              <w:snapToGrid w:val="0"/>
              <w:spacing w:line="420" w:lineRule="exact"/>
              <w:ind w:firstLine="0" w:firstLineChars="0"/>
              <w:jc w:val="center"/>
              <w:textAlignment w:val="auto"/>
              <w:rPr>
                <w:rFonts w:hint="eastAsia" w:ascii="黑体" w:hAnsi="黑体" w:eastAsia="黑体" w:cs="黑体"/>
                <w:color w:val="000000"/>
                <w:sz w:val="28"/>
                <w:szCs w:val="28"/>
                <w:highlight w:val="none"/>
              </w:rPr>
            </w:pPr>
            <w:r>
              <w:rPr>
                <w:rFonts w:hint="eastAsia" w:ascii="黑体" w:hAnsi="黑体" w:eastAsia="黑体" w:cs="黑体"/>
                <w:b w:val="0"/>
                <w:bCs/>
                <w:sz w:val="28"/>
                <w:szCs w:val="28"/>
                <w:highlight w:val="none"/>
                <w:shd w:val="clear" w:color="auto" w:fill="auto"/>
              </w:rPr>
              <w:t>复核</w:t>
            </w:r>
          </w:p>
        </w:tc>
      </w:tr>
      <w:tr>
        <w:tblPrEx>
          <w:tblCellMar>
            <w:top w:w="0" w:type="dxa"/>
            <w:left w:w="108" w:type="dxa"/>
            <w:bottom w:w="0" w:type="dxa"/>
            <w:right w:w="108" w:type="dxa"/>
          </w:tblCellMar>
        </w:tblPrEx>
        <w:trPr>
          <w:trHeight w:val="1389" w:hRule="atLeast"/>
          <w:jc w:val="center"/>
        </w:trPr>
        <w:tc>
          <w:tcPr>
            <w:tcW w:w="56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1</w:t>
            </w:r>
          </w:p>
        </w:tc>
        <w:tc>
          <w:tcPr>
            <w:tcW w:w="2187"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中国计量科学</w:t>
            </w:r>
          </w:p>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sz w:val="28"/>
                <w:szCs w:val="28"/>
                <w:highlight w:val="none"/>
              </w:rPr>
              <w:t>研究院</w:t>
            </w:r>
          </w:p>
        </w:tc>
        <w:tc>
          <w:tcPr>
            <w:tcW w:w="14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2.2</w:t>
            </w:r>
          </w:p>
          <w:p>
            <w:pPr>
              <w:keepNext w:val="0"/>
              <w:keepLines w:val="0"/>
              <w:pageBreakBefore w:val="0"/>
              <w:kinsoku/>
              <w:wordWrap/>
              <w:overflowPunct/>
              <w:topLinePunct w:val="0"/>
              <w:autoSpaceDE/>
              <w:autoSpaceDN/>
              <w:bidi w:val="0"/>
              <w:adjustRightInd/>
              <w:snapToGrid w:val="0"/>
              <w:spacing w:line="420" w:lineRule="exact"/>
              <w:ind w:left="-44" w:leftChars="-21" w:right="-107" w:rightChars="-51"/>
              <w:jc w:val="center"/>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kern w:val="0"/>
                <w:sz w:val="28"/>
                <w:szCs w:val="28"/>
                <w:highlight w:val="none"/>
              </w:rPr>
              <w:t>仪器装备</w:t>
            </w:r>
          </w:p>
        </w:tc>
        <w:tc>
          <w:tcPr>
            <w:tcW w:w="3904"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pacing w:line="420" w:lineRule="exact"/>
              <w:jc w:val="both"/>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sz w:val="28"/>
                <w:szCs w:val="28"/>
                <w:highlight w:val="none"/>
                <w:lang w:val="en-US" w:eastAsia="zh-CN"/>
              </w:rPr>
              <w:t>检定人员未按照要求在确认记录内填写血液透析装置检测仪对应的校准证书编号YXyx2024-00850和溯源结果确认日期。</w:t>
            </w:r>
          </w:p>
        </w:tc>
        <w:tc>
          <w:tcPr>
            <w:tcW w:w="866"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textAlignment w:val="auto"/>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通过</w:t>
            </w:r>
          </w:p>
        </w:tc>
      </w:tr>
      <w:tr>
        <w:tblPrEx>
          <w:tblCellMar>
            <w:top w:w="0" w:type="dxa"/>
            <w:left w:w="108" w:type="dxa"/>
            <w:bottom w:w="0" w:type="dxa"/>
            <w:right w:w="108" w:type="dxa"/>
          </w:tblCellMar>
        </w:tblPrEx>
        <w:trPr>
          <w:trHeight w:val="1389" w:hRule="atLeast"/>
          <w:jc w:val="center"/>
        </w:trPr>
        <w:tc>
          <w:tcPr>
            <w:tcW w:w="568"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2</w:t>
            </w:r>
          </w:p>
        </w:tc>
        <w:tc>
          <w:tcPr>
            <w:tcW w:w="2187" w:type="dxa"/>
            <w:vMerge w:val="restart"/>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山西省检验检测中心（山西省标准计量技术研究院）</w:t>
            </w:r>
          </w:p>
        </w:tc>
        <w:tc>
          <w:tcPr>
            <w:tcW w:w="14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2.2</w:t>
            </w:r>
          </w:p>
          <w:p>
            <w:pPr>
              <w:keepNext w:val="0"/>
              <w:keepLines w:val="0"/>
              <w:pageBreakBefore w:val="0"/>
              <w:kinsoku/>
              <w:wordWrap/>
              <w:overflowPunct/>
              <w:topLinePunct w:val="0"/>
              <w:autoSpaceDE/>
              <w:autoSpaceDN/>
              <w:bidi w:val="0"/>
              <w:adjustRightInd/>
              <w:snapToGrid w:val="0"/>
              <w:spacing w:line="420" w:lineRule="exact"/>
              <w:ind w:left="-44" w:leftChars="-21" w:right="-107" w:rightChars="-51"/>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仪器装备</w:t>
            </w:r>
          </w:p>
        </w:tc>
        <w:tc>
          <w:tcPr>
            <w:tcW w:w="3904"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pacing w:line="420" w:lineRule="exact"/>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sz w:val="28"/>
                <w:szCs w:val="28"/>
                <w:highlight w:val="none"/>
              </w:rPr>
              <w:t>长度、电学、压力试验室各有一台设备量值溯源后，未及时更换设备状态标识。</w:t>
            </w:r>
          </w:p>
        </w:tc>
        <w:tc>
          <w:tcPr>
            <w:tcW w:w="866"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通过</w:t>
            </w:r>
          </w:p>
        </w:tc>
      </w:tr>
      <w:tr>
        <w:tblPrEx>
          <w:tblCellMar>
            <w:top w:w="0" w:type="dxa"/>
            <w:left w:w="108" w:type="dxa"/>
            <w:bottom w:w="0" w:type="dxa"/>
            <w:right w:w="108" w:type="dxa"/>
          </w:tblCellMar>
        </w:tblPrEx>
        <w:trPr>
          <w:trHeight w:val="1649" w:hRule="atLeast"/>
          <w:jc w:val="center"/>
        </w:trPr>
        <w:tc>
          <w:tcPr>
            <w:tcW w:w="56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420" w:lineRule="exact"/>
              <w:jc w:val="left"/>
              <w:textAlignment w:val="auto"/>
              <w:rPr>
                <w:rFonts w:hint="eastAsia" w:ascii="仿宋_GB2312" w:hAnsi="仿宋_GB2312" w:eastAsia="仿宋_GB2312" w:cs="仿宋_GB2312"/>
                <w:color w:val="000000"/>
                <w:sz w:val="28"/>
                <w:szCs w:val="28"/>
                <w:highlight w:val="none"/>
              </w:rPr>
            </w:pPr>
          </w:p>
        </w:tc>
        <w:tc>
          <w:tcPr>
            <w:tcW w:w="2187" w:type="dxa"/>
            <w:vMerge w:val="continue"/>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420" w:lineRule="exact"/>
              <w:jc w:val="center"/>
              <w:textAlignment w:val="auto"/>
              <w:rPr>
                <w:rFonts w:hint="eastAsia" w:ascii="仿宋_GB2312" w:hAnsi="仿宋_GB2312" w:eastAsia="仿宋_GB2312" w:cs="仿宋_GB2312"/>
                <w:color w:val="000000"/>
                <w:sz w:val="28"/>
                <w:szCs w:val="28"/>
                <w:highlight w:val="none"/>
              </w:rPr>
            </w:pPr>
          </w:p>
        </w:tc>
        <w:tc>
          <w:tcPr>
            <w:tcW w:w="14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val="0"/>
              <w:spacing w:line="420" w:lineRule="exact"/>
              <w:ind w:left="-44" w:leftChars="-21" w:right="-107" w:rightChars="-51"/>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4.2</w:t>
            </w:r>
          </w:p>
          <w:p>
            <w:pPr>
              <w:keepNext w:val="0"/>
              <w:keepLines w:val="0"/>
              <w:pageBreakBefore w:val="0"/>
              <w:kinsoku/>
              <w:wordWrap/>
              <w:overflowPunct/>
              <w:topLinePunct w:val="0"/>
              <w:autoSpaceDE/>
              <w:autoSpaceDN/>
              <w:bidi w:val="0"/>
              <w:adjustRightInd/>
              <w:snapToGrid w:val="0"/>
              <w:spacing w:line="420" w:lineRule="exact"/>
              <w:ind w:left="-44" w:leftChars="-21" w:right="-107" w:rightChars="-51"/>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原始数据</w:t>
            </w:r>
          </w:p>
        </w:tc>
        <w:tc>
          <w:tcPr>
            <w:tcW w:w="3904"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pacing w:line="420" w:lineRule="exact"/>
              <w:jc w:val="both"/>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sz w:val="28"/>
                <w:szCs w:val="28"/>
                <w:highlight w:val="none"/>
              </w:rPr>
              <w:t>数据记录</w:t>
            </w:r>
            <w:r>
              <w:rPr>
                <w:rFonts w:hint="eastAsia" w:ascii="仿宋_GB2312" w:hAnsi="仿宋_GB2312" w:eastAsia="仿宋_GB2312" w:cs="仿宋_GB2312"/>
                <w:color w:val="000000"/>
                <w:sz w:val="28"/>
                <w:szCs w:val="28"/>
                <w:highlight w:val="none"/>
                <w:lang w:eastAsia="zh-CN"/>
              </w:rPr>
              <w:t>（</w:t>
            </w:r>
            <w:r>
              <w:rPr>
                <w:rFonts w:hint="eastAsia" w:ascii="仿宋_GB2312" w:hAnsi="仿宋_GB2312" w:eastAsia="仿宋_GB2312" w:cs="仿宋_GB2312"/>
                <w:sz w:val="28"/>
                <w:szCs w:val="28"/>
                <w:highlight w:val="none"/>
                <w:lang w:val="en-US" w:eastAsia="zh-CN"/>
              </w:rPr>
              <w:t>编号：</w:t>
            </w:r>
            <w:r>
              <w:rPr>
                <w:rFonts w:hint="eastAsia" w:ascii="仿宋_GB2312" w:hAnsi="仿宋_GB2312" w:eastAsia="仿宋_GB2312" w:cs="仿宋_GB2312"/>
                <w:color w:val="000000"/>
                <w:sz w:val="28"/>
                <w:szCs w:val="28"/>
                <w:highlight w:val="none"/>
              </w:rPr>
              <w:t>JYSP20233624</w:t>
            </w:r>
            <w:r>
              <w:rPr>
                <w:rFonts w:hint="eastAsia" w:ascii="仿宋_GB2312" w:hAnsi="仿宋_GB2312" w:eastAsia="仿宋_GB2312" w:cs="仿宋_GB2312"/>
                <w:color w:val="000000"/>
                <w:sz w:val="28"/>
                <w:szCs w:val="28"/>
                <w:highlight w:val="none"/>
                <w:lang w:eastAsia="zh-CN"/>
              </w:rPr>
              <w:t>）的</w:t>
            </w:r>
            <w:r>
              <w:rPr>
                <w:rFonts w:hint="eastAsia" w:ascii="仿宋_GB2312" w:hAnsi="仿宋_GB2312" w:eastAsia="仿宋_GB2312" w:cs="仿宋_GB2312"/>
                <w:color w:val="000000"/>
                <w:sz w:val="28"/>
                <w:szCs w:val="28"/>
                <w:highlight w:val="none"/>
              </w:rPr>
              <w:t>修改未</w:t>
            </w:r>
            <w:r>
              <w:rPr>
                <w:rFonts w:hint="eastAsia" w:ascii="仿宋_GB2312" w:hAnsi="仿宋_GB2312" w:eastAsia="仿宋_GB2312" w:cs="仿宋_GB2312"/>
                <w:color w:val="000000"/>
                <w:sz w:val="28"/>
                <w:szCs w:val="28"/>
                <w:highlight w:val="none"/>
                <w:lang w:eastAsia="zh-CN"/>
              </w:rPr>
              <w:t>严格遵照</w:t>
            </w:r>
            <w:r>
              <w:rPr>
                <w:rFonts w:hint="eastAsia" w:ascii="仿宋_GB2312" w:hAnsi="仿宋_GB2312" w:eastAsia="仿宋_GB2312" w:cs="仿宋_GB2312"/>
                <w:color w:val="000000"/>
                <w:sz w:val="28"/>
                <w:szCs w:val="28"/>
                <w:highlight w:val="none"/>
              </w:rPr>
              <w:t>体系文件要求进行。</w:t>
            </w:r>
          </w:p>
        </w:tc>
        <w:tc>
          <w:tcPr>
            <w:tcW w:w="866"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通过</w:t>
            </w:r>
          </w:p>
        </w:tc>
      </w:tr>
      <w:tr>
        <w:tblPrEx>
          <w:tblCellMar>
            <w:top w:w="0" w:type="dxa"/>
            <w:left w:w="108" w:type="dxa"/>
            <w:bottom w:w="0" w:type="dxa"/>
            <w:right w:w="108" w:type="dxa"/>
          </w:tblCellMar>
        </w:tblPrEx>
        <w:trPr>
          <w:trHeight w:val="1529" w:hRule="atLeast"/>
          <w:jc w:val="center"/>
        </w:trPr>
        <w:tc>
          <w:tcPr>
            <w:tcW w:w="56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3</w:t>
            </w:r>
          </w:p>
        </w:tc>
        <w:tc>
          <w:tcPr>
            <w:tcW w:w="2187"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浙江省计量</w:t>
            </w:r>
          </w:p>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sz w:val="28"/>
                <w:szCs w:val="28"/>
                <w:highlight w:val="none"/>
              </w:rPr>
              <w:t>科学研究院</w:t>
            </w:r>
          </w:p>
        </w:tc>
        <w:tc>
          <w:tcPr>
            <w:tcW w:w="1484"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val="0"/>
              <w:spacing w:line="420" w:lineRule="exact"/>
              <w:ind w:left="-44" w:leftChars="-21" w:right="-107" w:rightChars="-51"/>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4.4</w:t>
            </w:r>
          </w:p>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color w:val="000000"/>
                <w:kern w:val="0"/>
                <w:sz w:val="28"/>
                <w:szCs w:val="28"/>
                <w:highlight w:val="none"/>
                <w:lang w:val="en-US" w:eastAsia="zh-CN" w:bidi="ar-SA"/>
              </w:rPr>
            </w:pPr>
            <w:r>
              <w:rPr>
                <w:rFonts w:hint="eastAsia" w:ascii="仿宋_GB2312" w:hAnsi="仿宋_GB2312" w:eastAsia="仿宋_GB2312" w:cs="仿宋_GB2312"/>
                <w:kern w:val="0"/>
                <w:sz w:val="28"/>
                <w:szCs w:val="28"/>
                <w:highlight w:val="none"/>
              </w:rPr>
              <w:t>证书报告</w:t>
            </w:r>
          </w:p>
        </w:tc>
        <w:tc>
          <w:tcPr>
            <w:tcW w:w="3904" w:type="dxa"/>
            <w:tcBorders>
              <w:top w:val="single" w:color="auto" w:sz="4" w:space="0"/>
              <w:left w:val="nil"/>
              <w:right w:val="single" w:color="auto" w:sz="4" w:space="0"/>
            </w:tcBorders>
            <w:noWrap w:val="0"/>
            <w:vAlign w:val="center"/>
          </w:tcPr>
          <w:p>
            <w:pPr>
              <w:keepNext w:val="0"/>
              <w:keepLines w:val="0"/>
              <w:pageBreakBefore w:val="0"/>
              <w:kinsoku/>
              <w:wordWrap/>
              <w:overflowPunct/>
              <w:topLinePunct w:val="0"/>
              <w:autoSpaceDE/>
              <w:autoSpaceDN/>
              <w:bidi w:val="0"/>
              <w:adjustRightInd/>
              <w:spacing w:line="420" w:lineRule="exact"/>
              <w:textAlignment w:val="auto"/>
              <w:rPr>
                <w:rFonts w:hint="eastAsia" w:ascii="仿宋_GB2312" w:hAnsi="仿宋_GB2312" w:eastAsia="仿宋_GB2312" w:cs="仿宋_GB2312"/>
                <w:color w:val="000000"/>
                <w:kern w:val="2"/>
                <w:sz w:val="28"/>
                <w:szCs w:val="28"/>
                <w:highlight w:val="none"/>
                <w:lang w:val="en-US" w:eastAsia="zh-CN" w:bidi="ar-SA"/>
              </w:rPr>
            </w:pPr>
            <w:r>
              <w:rPr>
                <w:rFonts w:hint="eastAsia" w:ascii="仿宋_GB2312" w:hAnsi="仿宋_GB2312" w:eastAsia="仿宋_GB2312" w:cs="仿宋_GB2312"/>
                <w:color w:val="000000"/>
                <w:sz w:val="28"/>
                <w:szCs w:val="28"/>
                <w:highlight w:val="none"/>
              </w:rPr>
              <w:t>程序文件中有关型式评价报告的存档要求及内容</w:t>
            </w:r>
            <w:r>
              <w:rPr>
                <w:rFonts w:hint="eastAsia" w:ascii="仿宋_GB2312" w:hAnsi="仿宋_GB2312" w:eastAsia="仿宋_GB2312" w:cs="仿宋_GB2312"/>
                <w:color w:val="000000"/>
                <w:sz w:val="28"/>
                <w:szCs w:val="28"/>
                <w:highlight w:val="none"/>
                <w:lang w:eastAsia="zh-CN"/>
              </w:rPr>
              <w:t>的</w:t>
            </w:r>
            <w:r>
              <w:rPr>
                <w:rFonts w:hint="eastAsia" w:ascii="仿宋_GB2312" w:hAnsi="仿宋_GB2312" w:eastAsia="仿宋_GB2312" w:cs="仿宋_GB2312"/>
                <w:color w:val="000000"/>
                <w:sz w:val="28"/>
                <w:szCs w:val="28"/>
                <w:highlight w:val="none"/>
              </w:rPr>
              <w:t>规定不完整。</w:t>
            </w:r>
          </w:p>
        </w:tc>
        <w:tc>
          <w:tcPr>
            <w:tcW w:w="866"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kern w:val="2"/>
                <w:sz w:val="28"/>
                <w:szCs w:val="28"/>
                <w:highlight w:val="none"/>
                <w:lang w:val="en-US" w:eastAsia="zh-CN" w:bidi="ar-SA"/>
              </w:rPr>
            </w:pPr>
            <w:r>
              <w:rPr>
                <w:rFonts w:hint="eastAsia" w:ascii="仿宋_GB2312" w:hAnsi="仿宋_GB2312" w:eastAsia="仿宋_GB2312" w:cs="仿宋_GB2312"/>
                <w:sz w:val="28"/>
                <w:szCs w:val="28"/>
                <w:highlight w:val="none"/>
              </w:rPr>
              <w:t>通过</w:t>
            </w:r>
          </w:p>
        </w:tc>
      </w:tr>
      <w:tr>
        <w:tblPrEx>
          <w:tblCellMar>
            <w:top w:w="0" w:type="dxa"/>
            <w:left w:w="108" w:type="dxa"/>
            <w:bottom w:w="0" w:type="dxa"/>
            <w:right w:w="108" w:type="dxa"/>
          </w:tblCellMar>
        </w:tblPrEx>
        <w:trPr>
          <w:trHeight w:val="1223" w:hRule="atLeast"/>
          <w:jc w:val="center"/>
        </w:trPr>
        <w:tc>
          <w:tcPr>
            <w:tcW w:w="568"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color w:val="000000"/>
                <w:sz w:val="28"/>
                <w:szCs w:val="28"/>
                <w:highlight w:val="none"/>
                <w:lang w:eastAsia="zh-CN"/>
              </w:rPr>
            </w:pPr>
            <w:r>
              <w:rPr>
                <w:rFonts w:hint="eastAsia" w:ascii="仿宋_GB2312" w:hAnsi="仿宋_GB2312" w:eastAsia="仿宋_GB2312" w:cs="仿宋_GB2312"/>
                <w:color w:val="000000"/>
                <w:sz w:val="28"/>
                <w:szCs w:val="28"/>
                <w:highlight w:val="none"/>
                <w:lang w:val="en-US" w:eastAsia="zh-CN"/>
              </w:rPr>
              <w:t>4</w:t>
            </w:r>
          </w:p>
        </w:tc>
        <w:tc>
          <w:tcPr>
            <w:tcW w:w="2187"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海南省检验</w:t>
            </w:r>
          </w:p>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检测研究院</w:t>
            </w:r>
          </w:p>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计量测试所</w:t>
            </w:r>
          </w:p>
        </w:tc>
        <w:tc>
          <w:tcPr>
            <w:tcW w:w="14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2.2</w:t>
            </w:r>
          </w:p>
          <w:p>
            <w:pPr>
              <w:keepNext w:val="0"/>
              <w:keepLines w:val="0"/>
              <w:pageBreakBefore w:val="0"/>
              <w:kinsoku/>
              <w:wordWrap/>
              <w:overflowPunct/>
              <w:topLinePunct w:val="0"/>
              <w:autoSpaceDE/>
              <w:autoSpaceDN/>
              <w:bidi w:val="0"/>
              <w:adjustRightInd/>
              <w:snapToGrid w:val="0"/>
              <w:spacing w:line="420" w:lineRule="exact"/>
              <w:ind w:left="-44" w:leftChars="-21" w:right="-107" w:rightChars="-51"/>
              <w:jc w:val="center"/>
              <w:textAlignment w:val="auto"/>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kern w:val="0"/>
                <w:sz w:val="28"/>
                <w:szCs w:val="28"/>
                <w:highlight w:val="none"/>
              </w:rPr>
              <w:t>仪器装备</w:t>
            </w:r>
          </w:p>
        </w:tc>
        <w:tc>
          <w:tcPr>
            <w:tcW w:w="3904"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pacing w:line="420" w:lineRule="exact"/>
              <w:jc w:val="both"/>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lang w:val="en-US" w:eastAsia="zh-CN"/>
              </w:rPr>
              <w:t>经查绝缘电阻表（编号：55340281ws）的溯源证书（编号：DYQ202440135），该绝缘电阻表满足开展工作要求，但未及时对溯源证书进行确认记录。</w:t>
            </w:r>
          </w:p>
        </w:tc>
        <w:tc>
          <w:tcPr>
            <w:tcW w:w="866"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pacing w:line="420" w:lineRule="exac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通过</w:t>
            </w:r>
          </w:p>
        </w:tc>
      </w:tr>
      <w:tr>
        <w:tblPrEx>
          <w:tblCellMar>
            <w:top w:w="0" w:type="dxa"/>
            <w:left w:w="108" w:type="dxa"/>
            <w:bottom w:w="0" w:type="dxa"/>
            <w:right w:w="108" w:type="dxa"/>
          </w:tblCellMar>
        </w:tblPrEx>
        <w:trPr>
          <w:trHeight w:val="883" w:hRule="atLeast"/>
          <w:jc w:val="center"/>
        </w:trPr>
        <w:tc>
          <w:tcPr>
            <w:tcW w:w="568"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color w:val="000000"/>
                <w:sz w:val="28"/>
                <w:szCs w:val="28"/>
                <w:highlight w:val="none"/>
              </w:rPr>
            </w:pPr>
          </w:p>
        </w:tc>
        <w:tc>
          <w:tcPr>
            <w:tcW w:w="2187"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color w:val="000000"/>
                <w:kern w:val="0"/>
                <w:sz w:val="28"/>
                <w:szCs w:val="28"/>
                <w:highlight w:val="none"/>
              </w:rPr>
            </w:pPr>
          </w:p>
        </w:tc>
        <w:tc>
          <w:tcPr>
            <w:tcW w:w="14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4.1</w:t>
            </w:r>
          </w:p>
          <w:p>
            <w:pPr>
              <w:keepNext w:val="0"/>
              <w:keepLines w:val="0"/>
              <w:pageBreakBefore w:val="0"/>
              <w:kinsoku/>
              <w:wordWrap/>
              <w:overflowPunct/>
              <w:topLinePunct w:val="0"/>
              <w:autoSpaceDE/>
              <w:autoSpaceDN/>
              <w:bidi w:val="0"/>
              <w:adjustRightInd/>
              <w:snapToGrid w:val="0"/>
              <w:spacing w:line="420" w:lineRule="exact"/>
              <w:ind w:left="-44" w:leftChars="-21" w:right="-107" w:rightChars="-51"/>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检测依据</w:t>
            </w:r>
          </w:p>
        </w:tc>
        <w:tc>
          <w:tcPr>
            <w:tcW w:w="3904"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pacing w:line="420" w:lineRule="exac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证书报告（编号：</w:t>
            </w:r>
            <w:r>
              <w:rPr>
                <w:rFonts w:hint="eastAsia" w:ascii="仿宋_GB2312" w:hAnsi="仿宋_GB2312" w:eastAsia="仿宋_GB2312" w:cs="仿宋_GB2312"/>
                <w:sz w:val="28"/>
                <w:szCs w:val="28"/>
                <w:highlight w:val="none"/>
              </w:rPr>
              <w:t>HQ922019972</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中，检测结果的扩展不确定度</w:t>
            </w:r>
            <w:r>
              <w:rPr>
                <w:rFonts w:hint="eastAsia" w:ascii="仿宋_GB2312" w:hAnsi="仿宋_GB2312" w:eastAsia="仿宋_GB2312" w:cs="仿宋_GB2312"/>
                <w:sz w:val="28"/>
                <w:szCs w:val="28"/>
                <w:highlight w:val="none"/>
                <w:lang w:eastAsia="zh-CN"/>
              </w:rPr>
              <w:t>、</w:t>
            </w:r>
            <w:r>
              <w:rPr>
                <w:rFonts w:hint="eastAsia" w:ascii="仿宋_GB2312" w:hAnsi="仿宋_GB2312" w:eastAsia="仿宋_GB2312" w:cs="仿宋_GB2312"/>
                <w:sz w:val="28"/>
                <w:szCs w:val="28"/>
                <w:highlight w:val="none"/>
              </w:rPr>
              <w:t>限制使用条件和测量范围</w:t>
            </w:r>
            <w:r>
              <w:rPr>
                <w:rFonts w:hint="eastAsia" w:ascii="仿宋_GB2312" w:hAnsi="仿宋_GB2312" w:eastAsia="仿宋_GB2312" w:cs="仿宋_GB2312"/>
                <w:sz w:val="28"/>
                <w:szCs w:val="28"/>
                <w:highlight w:val="none"/>
                <w:lang w:eastAsia="zh-CN"/>
              </w:rPr>
              <w:t>无</w:t>
            </w:r>
            <w:r>
              <w:rPr>
                <w:rFonts w:hint="eastAsia" w:ascii="仿宋_GB2312" w:hAnsi="仿宋_GB2312" w:eastAsia="仿宋_GB2312" w:cs="仿宋_GB2312"/>
                <w:sz w:val="28"/>
                <w:szCs w:val="28"/>
                <w:highlight w:val="none"/>
              </w:rPr>
              <w:t>结果表述。</w:t>
            </w:r>
          </w:p>
        </w:tc>
        <w:tc>
          <w:tcPr>
            <w:tcW w:w="866"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pacing w:line="420" w:lineRule="exact"/>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通过</w:t>
            </w:r>
          </w:p>
        </w:tc>
      </w:tr>
      <w:tr>
        <w:tblPrEx>
          <w:tblCellMar>
            <w:top w:w="0" w:type="dxa"/>
            <w:left w:w="108" w:type="dxa"/>
            <w:bottom w:w="0" w:type="dxa"/>
            <w:right w:w="108" w:type="dxa"/>
          </w:tblCellMar>
        </w:tblPrEx>
        <w:trPr>
          <w:trHeight w:val="1344" w:hRule="atLeast"/>
          <w:jc w:val="center"/>
        </w:trPr>
        <w:tc>
          <w:tcPr>
            <w:tcW w:w="568" w:type="dxa"/>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420" w:lineRule="exact"/>
              <w:jc w:val="center"/>
              <w:textAlignment w:val="auto"/>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5</w:t>
            </w:r>
          </w:p>
        </w:tc>
        <w:tc>
          <w:tcPr>
            <w:tcW w:w="2187" w:type="dxa"/>
            <w:vMerge w:val="restart"/>
            <w:tcBorders>
              <w:top w:val="single" w:color="auto" w:sz="4" w:space="0"/>
              <w:left w:val="nil"/>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甘肃省计量研究院</w:t>
            </w:r>
          </w:p>
        </w:tc>
        <w:tc>
          <w:tcPr>
            <w:tcW w:w="14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1.2</w:t>
            </w:r>
          </w:p>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管理制度</w:t>
            </w:r>
          </w:p>
        </w:tc>
        <w:tc>
          <w:tcPr>
            <w:tcW w:w="3904"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pacing w:line="420" w:lineRule="exac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《人员管理程序》中缺少对与劳务公司签订用工协议并从事计量检定/校准/检验/检测工作人员的管理规定。</w:t>
            </w:r>
          </w:p>
        </w:tc>
        <w:tc>
          <w:tcPr>
            <w:tcW w:w="866"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pacing w:line="420" w:lineRule="exac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通过</w:t>
            </w:r>
          </w:p>
        </w:tc>
      </w:tr>
      <w:tr>
        <w:tblPrEx>
          <w:tblCellMar>
            <w:top w:w="0" w:type="dxa"/>
            <w:left w:w="108" w:type="dxa"/>
            <w:bottom w:w="0" w:type="dxa"/>
            <w:right w:w="108" w:type="dxa"/>
          </w:tblCellMar>
        </w:tblPrEx>
        <w:trPr>
          <w:trHeight w:val="1680" w:hRule="atLeast"/>
          <w:jc w:val="center"/>
        </w:trPr>
        <w:tc>
          <w:tcPr>
            <w:tcW w:w="568" w:type="dxa"/>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420" w:lineRule="exact"/>
              <w:jc w:val="center"/>
              <w:textAlignment w:val="auto"/>
              <w:rPr>
                <w:rFonts w:hint="eastAsia" w:ascii="仿宋_GB2312" w:hAnsi="仿宋_GB2312" w:eastAsia="仿宋_GB2312" w:cs="仿宋_GB2312"/>
                <w:color w:val="000000"/>
                <w:sz w:val="28"/>
                <w:szCs w:val="28"/>
                <w:highlight w:val="none"/>
              </w:rPr>
            </w:pPr>
          </w:p>
        </w:tc>
        <w:tc>
          <w:tcPr>
            <w:tcW w:w="2187" w:type="dxa"/>
            <w:vMerge w:val="continue"/>
            <w:tcBorders>
              <w:left w:val="nil"/>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color w:val="000000"/>
                <w:sz w:val="28"/>
                <w:szCs w:val="28"/>
                <w:highlight w:val="none"/>
              </w:rPr>
            </w:pPr>
          </w:p>
        </w:tc>
        <w:tc>
          <w:tcPr>
            <w:tcW w:w="1484" w:type="dxa"/>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val="0"/>
              <w:spacing w:line="420" w:lineRule="exact"/>
              <w:ind w:left="-44" w:leftChars="-21" w:right="-107" w:rightChars="-51"/>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4.2</w:t>
            </w:r>
          </w:p>
          <w:p>
            <w:pPr>
              <w:keepNext w:val="0"/>
              <w:keepLines w:val="0"/>
              <w:pageBreakBefore w:val="0"/>
              <w:kinsoku/>
              <w:wordWrap/>
              <w:overflowPunct/>
              <w:topLinePunct w:val="0"/>
              <w:autoSpaceDE/>
              <w:autoSpaceDN/>
              <w:bidi w:val="0"/>
              <w:adjustRightInd/>
              <w:spacing w:line="420" w:lineRule="exact"/>
              <w:jc w:val="center"/>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kern w:val="0"/>
                <w:sz w:val="28"/>
                <w:szCs w:val="28"/>
                <w:highlight w:val="none"/>
              </w:rPr>
              <w:t>原始数据</w:t>
            </w:r>
          </w:p>
        </w:tc>
        <w:tc>
          <w:tcPr>
            <w:tcW w:w="3904" w:type="dxa"/>
            <w:tcBorders>
              <w:top w:val="single" w:color="auto" w:sz="4" w:space="0"/>
              <w:left w:val="nil"/>
              <w:right w:val="single" w:color="auto" w:sz="4" w:space="0"/>
            </w:tcBorders>
            <w:noWrap w:val="0"/>
            <w:vAlign w:val="center"/>
          </w:tcPr>
          <w:p>
            <w:pPr>
              <w:keepNext w:val="0"/>
              <w:keepLines w:val="0"/>
              <w:pageBreakBefore w:val="0"/>
              <w:kinsoku/>
              <w:wordWrap/>
              <w:overflowPunct/>
              <w:topLinePunct w:val="0"/>
              <w:autoSpaceDE/>
              <w:autoSpaceDN/>
              <w:bidi w:val="0"/>
              <w:adjustRightInd/>
              <w:spacing w:line="420" w:lineRule="exact"/>
              <w:textAlignment w:val="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i w:val="0"/>
                <w:caps w:val="0"/>
                <w:color w:val="000000"/>
                <w:spacing w:val="0"/>
                <w:kern w:val="0"/>
                <w:sz w:val="28"/>
                <w:szCs w:val="28"/>
                <w:highlight w:val="none"/>
                <w:shd w:val="clear" w:color="auto" w:fill="FFFFFF"/>
                <w:lang w:val="en-US" w:eastAsia="zh-CN" w:bidi="ar"/>
              </w:rPr>
              <w:t>洛氏硬度计检定证书(编号：力学字第8220252236)的原始记录中未记录计量标准器的不确定度信息。</w:t>
            </w:r>
          </w:p>
        </w:tc>
        <w:tc>
          <w:tcPr>
            <w:tcW w:w="866"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pacing w:line="420" w:lineRule="exac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通过</w:t>
            </w:r>
          </w:p>
        </w:tc>
      </w:tr>
      <w:tr>
        <w:tblPrEx>
          <w:tblCellMar>
            <w:top w:w="0" w:type="dxa"/>
            <w:left w:w="108" w:type="dxa"/>
            <w:bottom w:w="0" w:type="dxa"/>
            <w:right w:w="108" w:type="dxa"/>
          </w:tblCellMar>
        </w:tblPrEx>
        <w:trPr>
          <w:trHeight w:val="1096" w:hRule="atLeast"/>
          <w:jc w:val="center"/>
        </w:trPr>
        <w:tc>
          <w:tcPr>
            <w:tcW w:w="568" w:type="dxa"/>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420" w:lineRule="exact"/>
              <w:jc w:val="center"/>
              <w:textAlignment w:val="auto"/>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6</w:t>
            </w:r>
          </w:p>
        </w:tc>
        <w:tc>
          <w:tcPr>
            <w:tcW w:w="2187" w:type="dxa"/>
            <w:vMerge w:val="restart"/>
            <w:tcBorders>
              <w:top w:val="single" w:color="auto" w:sz="4" w:space="0"/>
              <w:left w:val="nil"/>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420" w:lineRule="exact"/>
              <w:jc w:val="center"/>
              <w:textAlignment w:val="auto"/>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color w:val="000000"/>
                <w:kern w:val="0"/>
                <w:sz w:val="28"/>
                <w:szCs w:val="28"/>
                <w:highlight w:val="none"/>
              </w:rPr>
              <w:t>国家重大技术装备几何量计量站</w:t>
            </w:r>
          </w:p>
        </w:tc>
        <w:tc>
          <w:tcPr>
            <w:tcW w:w="14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1.2</w:t>
            </w:r>
          </w:p>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kern w:val="0"/>
                <w:sz w:val="28"/>
                <w:szCs w:val="28"/>
                <w:highlight w:val="none"/>
              </w:rPr>
              <w:t>管理制度</w:t>
            </w:r>
          </w:p>
        </w:tc>
        <w:tc>
          <w:tcPr>
            <w:tcW w:w="3904"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pacing w:line="420" w:lineRule="exac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sz w:val="28"/>
                <w:szCs w:val="28"/>
                <w:highlight w:val="none"/>
              </w:rPr>
              <w:t>《人力资源管理控制程序》和《部门人员职责与权限控制程序》文件中缺少对设立在机构外部的实验室人员的相关管理要求。</w:t>
            </w:r>
          </w:p>
        </w:tc>
        <w:tc>
          <w:tcPr>
            <w:tcW w:w="866"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pacing w:line="420" w:lineRule="exac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通过</w:t>
            </w:r>
          </w:p>
        </w:tc>
      </w:tr>
      <w:tr>
        <w:tblPrEx>
          <w:tblCellMar>
            <w:top w:w="0" w:type="dxa"/>
            <w:left w:w="108" w:type="dxa"/>
            <w:bottom w:w="0" w:type="dxa"/>
            <w:right w:w="108" w:type="dxa"/>
          </w:tblCellMar>
        </w:tblPrEx>
        <w:trPr>
          <w:trHeight w:val="656" w:hRule="atLeast"/>
          <w:jc w:val="center"/>
        </w:trPr>
        <w:tc>
          <w:tcPr>
            <w:tcW w:w="568" w:type="dxa"/>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420" w:lineRule="exact"/>
              <w:jc w:val="left"/>
              <w:textAlignment w:val="auto"/>
              <w:rPr>
                <w:rFonts w:hint="eastAsia" w:ascii="仿宋_GB2312" w:hAnsi="仿宋_GB2312" w:eastAsia="仿宋_GB2312" w:cs="仿宋_GB2312"/>
                <w:color w:val="000000"/>
                <w:sz w:val="28"/>
                <w:szCs w:val="28"/>
                <w:highlight w:val="none"/>
              </w:rPr>
            </w:pPr>
          </w:p>
        </w:tc>
        <w:tc>
          <w:tcPr>
            <w:tcW w:w="2187" w:type="dxa"/>
            <w:vMerge w:val="continue"/>
            <w:tcBorders>
              <w:left w:val="nil"/>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420" w:lineRule="exact"/>
              <w:jc w:val="center"/>
              <w:textAlignment w:val="auto"/>
              <w:rPr>
                <w:rFonts w:hint="eastAsia" w:ascii="仿宋_GB2312" w:hAnsi="仿宋_GB2312" w:eastAsia="仿宋_GB2312" w:cs="仿宋_GB2312"/>
                <w:color w:val="000000"/>
                <w:kern w:val="0"/>
                <w:sz w:val="28"/>
                <w:szCs w:val="28"/>
                <w:highlight w:val="none"/>
              </w:rPr>
            </w:pPr>
          </w:p>
        </w:tc>
        <w:tc>
          <w:tcPr>
            <w:tcW w:w="14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val="0"/>
              <w:spacing w:line="420" w:lineRule="exact"/>
              <w:ind w:left="-44" w:leftChars="-21" w:right="-107" w:rightChars="-51"/>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4.2</w:t>
            </w:r>
          </w:p>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color w:val="000000"/>
                <w:kern w:val="0"/>
                <w:sz w:val="28"/>
                <w:szCs w:val="28"/>
                <w:highlight w:val="none"/>
              </w:rPr>
            </w:pPr>
            <w:r>
              <w:rPr>
                <w:rFonts w:hint="eastAsia" w:ascii="仿宋_GB2312" w:hAnsi="仿宋_GB2312" w:eastAsia="仿宋_GB2312" w:cs="仿宋_GB2312"/>
                <w:kern w:val="0"/>
                <w:sz w:val="28"/>
                <w:szCs w:val="28"/>
                <w:highlight w:val="none"/>
              </w:rPr>
              <w:t>原始数据</w:t>
            </w:r>
          </w:p>
        </w:tc>
        <w:tc>
          <w:tcPr>
            <w:tcW w:w="3904"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pacing w:line="420" w:lineRule="exac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color w:val="000000"/>
                <w:sz w:val="28"/>
                <w:szCs w:val="28"/>
                <w:highlight w:val="none"/>
                <w:lang w:val="en-US" w:eastAsia="zh-CN"/>
              </w:rPr>
              <w:t>钢直尺检定证书(编号：022021055120)检定日期栏误填为证书报告签发日期。</w:t>
            </w:r>
          </w:p>
        </w:tc>
        <w:tc>
          <w:tcPr>
            <w:tcW w:w="866"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pacing w:line="420" w:lineRule="exac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通过</w:t>
            </w:r>
          </w:p>
        </w:tc>
      </w:tr>
      <w:tr>
        <w:tblPrEx>
          <w:tblCellMar>
            <w:top w:w="0" w:type="dxa"/>
            <w:left w:w="108" w:type="dxa"/>
            <w:bottom w:w="0" w:type="dxa"/>
            <w:right w:w="108" w:type="dxa"/>
          </w:tblCellMar>
        </w:tblPrEx>
        <w:trPr>
          <w:trHeight w:val="656" w:hRule="atLeast"/>
          <w:jc w:val="center"/>
        </w:trPr>
        <w:tc>
          <w:tcPr>
            <w:tcW w:w="568"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420" w:lineRule="exact"/>
              <w:jc w:val="left"/>
              <w:textAlignment w:val="auto"/>
              <w:rPr>
                <w:rFonts w:hint="eastAsia" w:ascii="仿宋_GB2312" w:hAnsi="仿宋_GB2312" w:eastAsia="仿宋_GB2312" w:cs="仿宋_GB2312"/>
                <w:color w:val="000000"/>
                <w:sz w:val="28"/>
                <w:szCs w:val="28"/>
                <w:highlight w:val="none"/>
              </w:rPr>
            </w:pPr>
          </w:p>
        </w:tc>
        <w:tc>
          <w:tcPr>
            <w:tcW w:w="2187" w:type="dxa"/>
            <w:vMerge w:val="continue"/>
            <w:tcBorders>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pacing w:line="420" w:lineRule="exact"/>
              <w:jc w:val="center"/>
              <w:textAlignment w:val="auto"/>
              <w:rPr>
                <w:rFonts w:hint="eastAsia" w:ascii="仿宋_GB2312" w:hAnsi="仿宋_GB2312" w:eastAsia="仿宋_GB2312" w:cs="仿宋_GB2312"/>
                <w:color w:val="000000"/>
                <w:kern w:val="0"/>
                <w:sz w:val="28"/>
                <w:szCs w:val="28"/>
                <w:highlight w:val="none"/>
              </w:rPr>
            </w:pPr>
          </w:p>
        </w:tc>
        <w:tc>
          <w:tcPr>
            <w:tcW w:w="14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napToGrid w:val="0"/>
              <w:spacing w:line="420" w:lineRule="exact"/>
              <w:ind w:left="-44" w:leftChars="-21" w:right="-107" w:rightChars="-51"/>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4.2</w:t>
            </w:r>
          </w:p>
          <w:p>
            <w:pPr>
              <w:keepNext w:val="0"/>
              <w:keepLines w:val="0"/>
              <w:pageBreakBefore w:val="0"/>
              <w:widowControl/>
              <w:kinsoku/>
              <w:wordWrap/>
              <w:overflowPunct/>
              <w:topLinePunct w:val="0"/>
              <w:autoSpaceDE/>
              <w:autoSpaceDN/>
              <w:bidi w:val="0"/>
              <w:adjustRightInd/>
              <w:snapToGrid w:val="0"/>
              <w:spacing w:line="420" w:lineRule="exact"/>
              <w:jc w:val="center"/>
              <w:textAlignment w:val="auto"/>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原始数据</w:t>
            </w:r>
          </w:p>
        </w:tc>
        <w:tc>
          <w:tcPr>
            <w:tcW w:w="3904"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pacing w:line="420" w:lineRule="exact"/>
              <w:textAlignment w:val="auto"/>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lang w:val="en-US" w:eastAsia="zh-CN"/>
              </w:rPr>
              <w:t>精密π尺检定证书(编号：0222021117001)直径示值误差测量不确定度</w:t>
            </w:r>
            <w:r>
              <w:rPr>
                <w:rFonts w:hint="eastAsia" w:ascii="仿宋_GB2312" w:hAnsi="仿宋_GB2312" w:eastAsia="仿宋_GB2312" w:cs="仿宋_GB2312"/>
                <w:i/>
                <w:iCs/>
                <w:color w:val="000000"/>
                <w:sz w:val="28"/>
                <w:szCs w:val="28"/>
                <w:highlight w:val="none"/>
                <w:lang w:val="en-US" w:eastAsia="zh-CN"/>
              </w:rPr>
              <w:t>U</w:t>
            </w:r>
            <w:r>
              <w:rPr>
                <w:rFonts w:hint="eastAsia" w:ascii="仿宋_GB2312" w:hAnsi="仿宋_GB2312" w:eastAsia="仿宋_GB2312" w:cs="仿宋_GB2312"/>
                <w:color w:val="000000"/>
                <w:sz w:val="28"/>
                <w:szCs w:val="28"/>
                <w:highlight w:val="none"/>
                <w:lang w:val="en-US" w:eastAsia="zh-CN"/>
              </w:rPr>
              <w:t>=0.023 mm，未进行数据修约。</w:t>
            </w:r>
          </w:p>
        </w:tc>
        <w:tc>
          <w:tcPr>
            <w:tcW w:w="866" w:type="dxa"/>
            <w:tcBorders>
              <w:top w:val="single" w:color="auto" w:sz="4" w:space="0"/>
              <w:left w:val="nil"/>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spacing w:line="420" w:lineRule="exact"/>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通过</w:t>
            </w:r>
          </w:p>
        </w:tc>
      </w:tr>
    </w:tbl>
    <w:p>
      <w:pPr>
        <w:overflowPunct w:val="0"/>
        <w:spacing w:line="594" w:lineRule="exact"/>
        <w:ind w:left="-141" w:leftChars="-67" w:right="-170" w:rightChars="-81"/>
        <w:jc w:val="center"/>
        <w:rPr>
          <w:rFonts w:hint="default" w:ascii="Times New Roman" w:hAnsi="Times New Roman" w:eastAsia="方正小标宋简体" w:cs="Times New Roman"/>
          <w:color w:val="000000"/>
          <w:sz w:val="44"/>
          <w:szCs w:val="44"/>
        </w:rPr>
      </w:pPr>
    </w:p>
    <w:p/>
    <w:sectPr>
      <w:headerReference r:id="rId3" w:type="default"/>
      <w:footerReference r:id="rId4" w:type="default"/>
      <w:pgSz w:w="11906" w:h="16838"/>
      <w:pgMar w:top="1701" w:right="1644" w:bottom="1701" w:left="1644" w:header="851" w:footer="992" w:gutter="0"/>
      <w:pgBorders>
        <w:top w:val="none" w:sz="0" w:space="0"/>
        <w:left w:val="none" w:sz="0" w:space="0"/>
        <w:bottom w:val="none" w:sz="0" w:space="0"/>
        <w:right w:val="none" w:sz="0" w:space="0"/>
      </w:pgBorders>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242A79"/>
    <w:rsid w:val="1E7476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Office_12.8.2.15091_F1E327BC-269C-435d-A152-05C5408002CA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2025-04-02T01:52:00Z</dcterms:created>
  <dc:creator>z</dc:creator>
  <cp:lastModifiedBy>刘红光</cp:lastModifiedBy>
  <dcterms:modified xsi:type="dcterms:W3CDTF">2025-04-02T03:14:52Z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2052-12.8.2.15091</vt:lpwstr>
  </property>
  <property fmtid="{D5CDD505-2E9C-101B-9397-08002B2CF9AE}" pid="3" name="ICV">
    <vt:lpwstr>300A8A6A7C2C4C57857BE16287BC2B71_12</vt:lpwstr>
  </property>
</Properties>
</file>